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20" w:after="120"/>
        <w:jc w:val="center"/>
      </w:pPr>
      <w:r>
        <w:rPr>
          <w:b/>
          <w:sz w:val="32"/>
        </w:rPr>
        <w:t xml:space="preserve">Landmark Indian Supreme Court Judgments</w:t>
      </w:r>
    </w:p>
    <w:p>
      <w:pPr>
        <w:spacing w:after="120"/>
        <w:jc w:val="both"/>
      </w:pPr>
      <w:r>
        <w:rPr>
          <w:sz w:val="21"/>
        </w:rPr>
        <w:t xml:space="preserve">Citations below were verified at the time of writing. Always re-confirm on indiankanoon.org or the Supreme Court's official website before relying on them in a filing.</w:t>
      </w:r>
    </w:p>
    <w:p/>
    <w:p>
      <w:pPr>
        <w:spacing w:before="200" w:after="80"/>
      </w:pPr>
      <w:r>
        <w:rPr>
          <w:b/>
          <w:sz w:val="24"/>
        </w:rPr>
        <w:t xml:space="preserve">Kesavananda Bharati v. State of Kerala (1973)</w:t>
      </w:r>
    </w:p>
    <w:p>
      <w:pPr>
        <w:spacing w:after="120"/>
        <w:jc w:val="both"/>
      </w:pPr>
      <w:r>
        <w:rPr>
          <w:sz w:val="21"/>
        </w:rPr>
        <w:t xml:space="preserve">Citation: AIR 1973 SC 1461; (1973) 4 SCC 225</w:t>
      </w:r>
    </w:p>
    <w:p>
      <w:pPr>
        <w:spacing w:after="120"/>
        <w:jc w:val="both"/>
      </w:pPr>
      <w:r>
        <w:rPr>
          <w:sz w:val="21"/>
        </w:rPr>
        <w:t xml:space="preserve">Bench: 13-Judge Bench (largest in Indian history)</w:t>
      </w:r>
    </w:p>
    <w:p>
      <w:pPr>
        <w:spacing w:after="120"/>
        <w:jc w:val="both"/>
      </w:pPr>
      <w:r>
        <w:rPr>
          <w:sz w:val="21"/>
        </w:rPr>
        <w:t xml:space="preserve">Held: Parliament can amend any part of the Constitution, including Fundamental Rights, but cannot alter its "basic structure" — the doctrine that limits the amending power under Article 368.</w:t>
      </w:r>
    </w:p>
    <w:p/>
    <w:p>
      <w:pPr>
        <w:spacing w:before="200" w:after="80"/>
      </w:pPr>
      <w:r>
        <w:rPr>
          <w:b/>
          <w:sz w:val="24"/>
        </w:rPr>
        <w:t xml:space="preserve">Maneka Gandhi v. Union of India (1978)</w:t>
      </w:r>
    </w:p>
    <w:p>
      <w:pPr>
        <w:spacing w:after="120"/>
        <w:jc w:val="both"/>
      </w:pPr>
      <w:r>
        <w:rPr>
          <w:sz w:val="21"/>
        </w:rPr>
        <w:t xml:space="preserve">Citation: AIR 1978 SC 597; (1978) 1 SCC 248</w:t>
      </w:r>
    </w:p>
    <w:p>
      <w:pPr>
        <w:spacing w:after="120"/>
        <w:jc w:val="both"/>
      </w:pPr>
      <w:r>
        <w:rPr>
          <w:sz w:val="21"/>
        </w:rPr>
        <w:t xml:space="preserve">Bench: 7-Judge Bench</w:t>
      </w:r>
    </w:p>
    <w:p>
      <w:pPr>
        <w:spacing w:after="120"/>
        <w:jc w:val="both"/>
      </w:pPr>
      <w:r>
        <w:rPr>
          <w:sz w:val="21"/>
        </w:rPr>
        <w:t xml:space="preserve">Held: Expanded Article 21 — "procedure established by law" must be fair, just and reasonable, linking Articles 14, 19 and 21 (the "Golden Triangle").</w:t>
      </w:r>
    </w:p>
    <w:p/>
    <w:p>
      <w:pPr>
        <w:spacing w:before="200" w:after="80"/>
      </w:pPr>
      <w:r>
        <w:rPr>
          <w:b/>
          <w:sz w:val="24"/>
        </w:rPr>
        <w:t xml:space="preserve">Vishaka v. State of Rajasthan (1997)</w:t>
      </w:r>
    </w:p>
    <w:p>
      <w:pPr>
        <w:spacing w:after="120"/>
        <w:jc w:val="both"/>
      </w:pPr>
      <w:r>
        <w:rPr>
          <w:sz w:val="21"/>
        </w:rPr>
        <w:t xml:space="preserve">Citation: (1997) 6 SCC 241; AIR 1997 SC 3011</w:t>
      </w:r>
    </w:p>
    <w:p>
      <w:pPr>
        <w:spacing w:after="120"/>
        <w:jc w:val="both"/>
      </w:pPr>
      <w:r>
        <w:rPr>
          <w:sz w:val="21"/>
        </w:rPr>
        <w:t xml:space="preserve">Bench: 3-Judge Bench</w:t>
      </w:r>
    </w:p>
    <w:p>
      <w:pPr>
        <w:spacing w:after="120"/>
        <w:jc w:val="both"/>
      </w:pPr>
      <w:r>
        <w:rPr>
          <w:sz w:val="21"/>
        </w:rPr>
        <w:t xml:space="preserve">Held: Laid down the "Vishaka Guidelines" on workplace sexual harassment, later codified in the POSH Act, 2013.</w:t>
      </w:r>
    </w:p>
    <w:p/>
    <w:p>
      <w:pPr>
        <w:spacing w:before="200" w:after="80"/>
      </w:pPr>
      <w:r>
        <w:rPr>
          <w:b/>
          <w:sz w:val="24"/>
        </w:rPr>
        <w:t xml:space="preserve">D.K. Basu v. State of West Bengal (1997)</w:t>
      </w:r>
    </w:p>
    <w:p>
      <w:pPr>
        <w:spacing w:after="120"/>
        <w:jc w:val="both"/>
      </w:pPr>
      <w:r>
        <w:rPr>
          <w:sz w:val="21"/>
        </w:rPr>
        <w:t xml:space="preserve">Citation: (1997) 1 SCC 416</w:t>
      </w:r>
    </w:p>
    <w:p>
      <w:pPr>
        <w:spacing w:after="120"/>
        <w:jc w:val="both"/>
      </w:pPr>
      <w:r>
        <w:rPr>
          <w:sz w:val="21"/>
        </w:rPr>
        <w:t xml:space="preserve">Bench: Division Bench</w:t>
      </w:r>
    </w:p>
    <w:p>
      <w:pPr>
        <w:spacing w:after="120"/>
        <w:jc w:val="both"/>
      </w:pPr>
      <w:r>
        <w:rPr>
          <w:sz w:val="21"/>
        </w:rPr>
        <w:t xml:space="preserve">Held: Laid down binding guidelines on arrest and custody — arrest memo, right to inform a relative/friend, medical examination, and production before a magistrate within 24 hours — now substantially reflected in BNSS provisions on arrest.</w:t>
      </w:r>
    </w:p>
    <w:p/>
    <w:p>
      <w:pPr>
        <w:spacing w:before="200" w:after="80"/>
      </w:pPr>
      <w:r>
        <w:rPr>
          <w:b/>
          <w:sz w:val="24"/>
        </w:rPr>
        <w:t xml:space="preserve">Shreya Singhal v. Union of India (2015)</w:t>
      </w:r>
    </w:p>
    <w:p>
      <w:pPr>
        <w:spacing w:after="120"/>
        <w:jc w:val="both"/>
      </w:pPr>
      <w:r>
        <w:rPr>
          <w:sz w:val="21"/>
        </w:rPr>
        <w:t xml:space="preserve">Citation: (2015) 5 SCC 1</w:t>
      </w:r>
    </w:p>
    <w:p>
      <w:pPr>
        <w:spacing w:after="120"/>
        <w:jc w:val="both"/>
      </w:pPr>
      <w:r>
        <w:rPr>
          <w:sz w:val="21"/>
        </w:rPr>
        <w:t xml:space="preserve">Bench: Division Bench</w:t>
      </w:r>
    </w:p>
    <w:p>
      <w:pPr>
        <w:spacing w:after="120"/>
        <w:jc w:val="both"/>
      </w:pPr>
      <w:r>
        <w:rPr>
          <w:sz w:val="21"/>
        </w:rPr>
        <w:t xml:space="preserve">Held: Struck down Section 66A of the Information Technology Act, 2000 as unconstitutionally vague and a violation of free speech under Article 19(1)(a).</w:t>
      </w:r>
    </w:p>
    <w:p/>
    <w:p>
      <w:pPr>
        <w:spacing w:before="200" w:after="80"/>
      </w:pPr>
      <w:r>
        <w:rPr>
          <w:b/>
          <w:sz w:val="24"/>
        </w:rPr>
        <w:t xml:space="preserve">Justice K.S. Puttaswamy (Retd.) v. Union of India (2017)</w:t>
      </w:r>
    </w:p>
    <w:p>
      <w:pPr>
        <w:spacing w:after="120"/>
        <w:jc w:val="both"/>
      </w:pPr>
      <w:r>
        <w:rPr>
          <w:sz w:val="21"/>
        </w:rPr>
        <w:t xml:space="preserve">Citation: (2017) 10 SCC 1; AIR 2017 SC 4161</w:t>
      </w:r>
    </w:p>
    <w:p>
      <w:pPr>
        <w:spacing w:after="120"/>
        <w:jc w:val="both"/>
      </w:pPr>
      <w:r>
        <w:rPr>
          <w:sz w:val="21"/>
        </w:rPr>
        <w:t xml:space="preserve">Bench: 9-Judge Bench</w:t>
      </w:r>
    </w:p>
    <w:p>
      <w:pPr>
        <w:spacing w:after="120"/>
        <w:jc w:val="both"/>
      </w:pPr>
      <w:r>
        <w:rPr>
          <w:sz w:val="21"/>
        </w:rPr>
        <w:t xml:space="preserve">Held: Unanimously held that the right to privacy is a Fundamental Right, intrinsic to life and personal liberty under Article 21.</w:t>
      </w:r>
    </w:p>
    <w:p/>
    <w:p>
      <w:pPr>
        <w:spacing w:before="200" w:after="80"/>
      </w:pPr>
      <w:r>
        <w:rPr>
          <w:b/>
          <w:sz w:val="24"/>
        </w:rPr>
        <w:t xml:space="preserve">Navtej Singh Johar v. Union of India (2018)</w:t>
      </w:r>
    </w:p>
    <w:p>
      <w:pPr>
        <w:spacing w:after="120"/>
        <w:jc w:val="both"/>
      </w:pPr>
      <w:r>
        <w:rPr>
          <w:sz w:val="21"/>
        </w:rPr>
        <w:t xml:space="preserve">Citation: (2018) 10 SCC 1; AIR 2018 SC 4321</w:t>
      </w:r>
    </w:p>
    <w:p>
      <w:pPr>
        <w:spacing w:after="120"/>
        <w:jc w:val="both"/>
      </w:pPr>
      <w:r>
        <w:rPr>
          <w:sz w:val="21"/>
        </w:rPr>
        <w:t xml:space="preserve">Bench: 5-Judge Constitution Bench</w:t>
      </w:r>
    </w:p>
    <w:p>
      <w:pPr>
        <w:spacing w:after="120"/>
        <w:jc w:val="both"/>
      </w:pPr>
      <w:r>
        <w:rPr>
          <w:sz w:val="21"/>
        </w:rPr>
        <w:t xml:space="preserve">Held: Decriminalised consensual same-sex conduct between adults by reading down Section 377 of the (then) Indian Penal Code.</w:t>
      </w:r>
    </w:p>
    <w:p/>
    <w:p>
      <w:pPr>
        <w:spacing w:before="200" w:after="80"/>
      </w:pPr>
      <w:r>
        <w:rPr>
          <w:b/>
          <w:sz w:val="24"/>
        </w:rPr>
        <w:t xml:space="preserve">Satender Kumar Antil v. Central Bureau of Investigation (2022)</w:t>
      </w:r>
    </w:p>
    <w:p>
      <w:pPr>
        <w:spacing w:after="120"/>
        <w:jc w:val="both"/>
      </w:pPr>
      <w:r>
        <w:rPr>
          <w:sz w:val="21"/>
        </w:rPr>
        <w:t xml:space="preserve">Citation: 2022 (verify exact SCC/SCC OnLine number on indiankanoon.org before citing)</w:t>
      </w:r>
    </w:p>
    <w:p>
      <w:pPr>
        <w:spacing w:after="120"/>
        <w:jc w:val="both"/>
      </w:pPr>
      <w:r>
        <w:rPr>
          <w:sz w:val="21"/>
        </w:rPr>
        <w:t xml:space="preserve">Bench: Division Bench</w:t>
      </w:r>
    </w:p>
    <w:p>
      <w:pPr>
        <w:spacing w:after="120"/>
        <w:jc w:val="both"/>
      </w:pPr>
      <w:r>
        <w:rPr>
          <w:sz w:val="21"/>
        </w:rPr>
        <w:t xml:space="preserve">Held: Reiterated that "bail is the rule, jail is the exception," laid down categories of offences for bail purposes, and directed release of undertrials who have served a substantial part of their likely sentence.</w:t>
      </w:r>
    </w:p>
    <w:p/>
    <w:sectPr>
      <w:pgSz w:w="11906" w:h="16838"/>
      <w:pgMar w:top="1134" w:right="1134" w:bottom="1134" w:left="1134"/>
    </w:sectPr>
  </w:body>
</w:document>
</file>

<file path=word/_rels/document.xml.rels><?xml version="1.0" encoding="UTF-8" standalone="yes"?><Relationships xmlns="http://schemas.openxmlformats.org/package/2006/relationships"></Relationships>
</file>